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A" w:rsidRDefault="000E03EA">
      <w:pPr>
        <w:spacing w:after="0"/>
        <w:jc w:val="center"/>
        <w:rPr>
          <w:rFonts w:ascii="Arial Rounded MT Bold" w:hAnsi="Arial Rounded MT Bold" w:cs="Aharoni"/>
          <w:b/>
          <w:bCs/>
          <w:color w:val="FF0000"/>
          <w:sz w:val="36"/>
          <w:szCs w:val="36"/>
          <w:lang w:bidi="he-IL"/>
        </w:rPr>
      </w:pPr>
    </w:p>
    <w:p w:rsidR="000E03EA" w:rsidRDefault="00294375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</w:pPr>
      <w:r>
        <w:rPr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-226695</wp:posOffset>
            </wp:positionV>
            <wp:extent cx="934720" cy="100774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Balqa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App[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lied University</w:t>
      </w:r>
    </w:p>
    <w:p w:rsidR="000E03EA" w:rsidRDefault="00294375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College of Medicine</w:t>
      </w:r>
    </w:p>
    <w:p w:rsidR="000E03EA" w:rsidRDefault="000E03EA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3EA" w:rsidRDefault="000E03EA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3EA" w:rsidRDefault="00294375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E03EA" w:rsidRDefault="000E03EA">
      <w:pPr>
        <w:spacing w:after="0"/>
        <w:jc w:val="center"/>
        <w:rPr>
          <w:rFonts w:ascii="Arial Rounded MT Bold" w:hAnsi="Arial Rounded MT Bold" w:cs="Aharoni"/>
          <w:b/>
          <w:bCs/>
          <w:color w:val="FF0000"/>
          <w:sz w:val="36"/>
          <w:szCs w:val="36"/>
          <w:lang w:bidi="he-IL"/>
        </w:rPr>
      </w:pPr>
    </w:p>
    <w:p w:rsidR="000E03EA" w:rsidRDefault="00294375">
      <w:pPr>
        <w:pStyle w:val="IntenseQuote"/>
        <w:spacing w:before="0" w:after="0" w:line="360" w:lineRule="auto"/>
        <w:ind w:left="0" w:right="0"/>
        <w:jc w:val="center"/>
      </w:pPr>
      <w:r>
        <w:rPr>
          <w:rFonts w:ascii="Elephant" w:hAnsi="Elephant" w:cs="Elephant"/>
          <w:i w:val="0"/>
          <w:iCs w:val="0"/>
          <w:color w:val="FF0000"/>
          <w:sz w:val="32"/>
          <w:szCs w:val="32"/>
        </w:rPr>
        <w:t>Lecture 2</w:t>
      </w:r>
    </w:p>
    <w:p w:rsidR="000E03EA" w:rsidRDefault="00294375">
      <w:pPr>
        <w:pStyle w:val="IntenseQuote"/>
        <w:spacing w:before="0" w:after="0" w:line="360" w:lineRule="auto"/>
        <w:ind w:left="0" w:right="0"/>
        <w:jc w:val="center"/>
      </w:pPr>
      <w:r>
        <w:rPr>
          <w:rFonts w:ascii="Elephant" w:hAnsi="Elephant" w:cs="Elephant"/>
          <w:color w:val="FF0000"/>
          <w:sz w:val="32"/>
          <w:szCs w:val="32"/>
          <w:lang w:bidi="he-IL"/>
        </w:rPr>
        <w:t xml:space="preserve">Salmonella, </w:t>
      </w:r>
      <w:proofErr w:type="spellStart"/>
      <w:r>
        <w:rPr>
          <w:rFonts w:ascii="Elephant" w:hAnsi="Elephant" w:cs="Elephant"/>
          <w:color w:val="FF0000"/>
          <w:sz w:val="32"/>
          <w:szCs w:val="32"/>
          <w:lang w:bidi="he-IL"/>
        </w:rPr>
        <w:t>Shigella</w:t>
      </w:r>
      <w:proofErr w:type="spellEnd"/>
      <w:r>
        <w:rPr>
          <w:rFonts w:ascii="Elephant" w:hAnsi="Elephant" w:cs="Elephant"/>
          <w:color w:val="FF0000"/>
          <w:sz w:val="32"/>
          <w:szCs w:val="32"/>
          <w:lang w:bidi="he-IL"/>
        </w:rPr>
        <w:t>, and Campylobacter</w:t>
      </w:r>
    </w:p>
    <w:p w:rsidR="000E03EA" w:rsidRDefault="000E03EA">
      <w:pPr>
        <w:rPr>
          <w:rFonts w:cs="Arial"/>
        </w:rPr>
      </w:pPr>
    </w:p>
    <w:p w:rsidR="000E03EA" w:rsidRDefault="00294375">
      <w:pPr>
        <w:spacing w:after="0"/>
        <w:jc w:val="right"/>
      </w:pPr>
      <w:r>
        <w:rPr>
          <w:rFonts w:ascii="Times New Roman" w:eastAsia="Frutiger-BlackCn" w:hAnsi="Times New Roman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Frutiger-BlackCn" w:hAnsi="Times New Roman" w:cs="Times New Roman"/>
          <w:b/>
          <w:bCs/>
          <w:color w:val="000000"/>
          <w:sz w:val="24"/>
          <w:szCs w:val="24"/>
        </w:rPr>
        <w:t>Hala</w:t>
      </w:r>
      <w:proofErr w:type="spellEnd"/>
      <w:r>
        <w:rPr>
          <w:rFonts w:ascii="Times New Roman" w:eastAsia="Frutiger-BlackCn" w:hAnsi="Times New Roman" w:cs="Times New Roman"/>
          <w:b/>
          <w:bCs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Frutiger-BlackCn" w:hAnsi="Times New Roman" w:cs="Times New Roman"/>
          <w:b/>
          <w:bCs/>
          <w:color w:val="000000"/>
          <w:sz w:val="24"/>
          <w:szCs w:val="24"/>
        </w:rPr>
        <w:t>Daghistani</w:t>
      </w:r>
      <w:proofErr w:type="spellEnd"/>
    </w:p>
    <w:p w:rsidR="000E03EA" w:rsidRDefault="000E03EA">
      <w:pPr>
        <w:spacing w:after="0"/>
        <w:jc w:val="center"/>
        <w:rPr>
          <w:rFonts w:ascii="Arial Rounded MT Bold" w:hAnsi="Arial Rounded MT Bold" w:cs="Aharoni"/>
          <w:b/>
          <w:bCs/>
          <w:color w:val="FF0000"/>
          <w:sz w:val="36"/>
          <w:szCs w:val="36"/>
          <w:lang w:bidi="he-IL"/>
        </w:rPr>
      </w:pPr>
    </w:p>
    <w:p w:rsidR="000E03EA" w:rsidRDefault="000E03EA">
      <w:pPr>
        <w:spacing w:after="0"/>
        <w:rPr>
          <w:rFonts w:ascii="Franklin Gothic Heavy" w:hAnsi="Franklin Gothic Heavy" w:cs="Times New Roman"/>
          <w:b/>
          <w:bCs/>
          <w:color w:val="FF0000"/>
          <w:sz w:val="32"/>
          <w:szCs w:val="32"/>
          <w:u w:val="single"/>
        </w:rPr>
      </w:pPr>
    </w:p>
    <w:p w:rsidR="000E03EA" w:rsidRDefault="00294375">
      <w:pPr>
        <w:spacing w:after="0"/>
      </w:pPr>
      <w:r>
        <w:rPr>
          <w:rFonts w:ascii="Arial Rounded MT Bold" w:hAnsi="Arial Rounded MT Bold" w:cs="Arial Rounded MT Bold"/>
          <w:b/>
          <w:bCs/>
          <w:color w:val="FF0000"/>
          <w:sz w:val="32"/>
          <w:szCs w:val="32"/>
        </w:rPr>
        <w:t>Salmonella and enteritis</w:t>
      </w:r>
    </w:p>
    <w:p w:rsidR="000E03EA" w:rsidRDefault="00294375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Salmonellae are often pathogenic for humans or animals when acquired by the oral route. They are transmitted from animals and animal products to humans, where they cause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enteritis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systemic infection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and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enteric fever.</w:t>
      </w: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E6"/>
          <w:sz w:val="28"/>
          <w:szCs w:val="28"/>
          <w:u w:val="single"/>
        </w:rPr>
      </w:pP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E6"/>
          <w:sz w:val="28"/>
          <w:szCs w:val="28"/>
        </w:rPr>
        <w:t>Morphology and Identification</w:t>
      </w:r>
    </w:p>
    <w:p w:rsidR="000E03EA" w:rsidRDefault="00294375">
      <w:pPr>
        <w:spacing w:after="0"/>
        <w:ind w:left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-Most isolates are motile, never ferment lactose or sucrose, Form acid and sometimes gas, produce H2S. </w:t>
      </w:r>
    </w:p>
    <w:p w:rsidR="000E03EA" w:rsidRDefault="00294375">
      <w:pPr>
        <w:spacing w:after="0"/>
        <w:ind w:left="36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-Survive freezing in water for long periods. </w:t>
      </w: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E6"/>
          <w:sz w:val="28"/>
          <w:szCs w:val="28"/>
        </w:rPr>
      </w:pP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E6"/>
          <w:sz w:val="28"/>
          <w:szCs w:val="28"/>
        </w:rPr>
      </w:pPr>
    </w:p>
    <w:p w:rsidR="000E03EA" w:rsidRDefault="00294375">
      <w:pPr>
        <w:spacing w:after="0"/>
        <w:ind w:left="900" w:firstLine="720"/>
      </w:pPr>
      <w:hyperlink r:id="rId9">
        <w:r>
          <w:rPr>
            <w:rStyle w:val="InternetLink"/>
            <w:noProof/>
          </w:rPr>
          <w:drawing>
            <wp:inline distT="0" distB="0" distL="0" distR="0">
              <wp:extent cx="4193540" cy="2267585"/>
              <wp:effectExtent l="0" t="0" r="0" b="0"/>
              <wp:docPr id="2" name="Imag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3540" cy="2267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E6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Pathogenesis and Clinical Findings</w:t>
      </w:r>
    </w:p>
    <w:p w:rsidR="000E03EA" w:rsidRDefault="00294375">
      <w:pPr>
        <w:pStyle w:val="ListParagraph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animal reservoir for human infection is the poultry, pigs, rodents, cattle, pets (from turtles to parrots), and many others. </w:t>
      </w:r>
    </w:p>
    <w:p w:rsidR="000E03EA" w:rsidRDefault="00294375">
      <w:pPr>
        <w:pStyle w:val="ListParagraph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The organisms almost always enter via the oral route, usually with contaminated food or drink. The mean infective dose to pro</w:t>
      </w:r>
      <w:r>
        <w:rPr>
          <w:rFonts w:ascii="Times New Roman" w:hAnsi="Times New Roman" w:cs="Times New Roman"/>
          <w:color w:val="000000"/>
          <w:sz w:val="28"/>
          <w:szCs w:val="28"/>
        </w:rPr>
        <w:t>duce clinical or subclinical infection in humans is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–10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salmonellae </w:t>
      </w:r>
    </w:p>
    <w:p w:rsidR="000E03EA" w:rsidRDefault="00294375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Salmonellae produce three main types of disease in humans, but mixed forms are frequent</w:t>
      </w: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Pathogenicity of Salmonella</w:t>
      </w:r>
    </w:p>
    <w:p w:rsidR="000E03EA" w:rsidRDefault="00294375">
      <w:pPr>
        <w:spacing w:after="0"/>
        <w:jc w:val="both"/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Enterocolitis</w:t>
      </w:r>
      <w:proofErr w:type="spellEnd"/>
    </w:p>
    <w:p w:rsidR="000E03EA" w:rsidRDefault="00294375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This is the most common manifestation of </w:t>
      </w:r>
      <w:r>
        <w:rPr>
          <w:rFonts w:ascii="Times New Roman" w:hAnsi="Times New Roman" w:cs="Times New Roman"/>
          <w:color w:val="000000"/>
          <w:sz w:val="28"/>
          <w:szCs w:val="28"/>
        </w:rPr>
        <w:t>salmonella infection.</w:t>
      </w:r>
    </w:p>
    <w:p w:rsidR="000E03EA" w:rsidRDefault="00294375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 the US, S.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Typhimurium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and Salmonella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Enteritidis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are prominent, but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enterocolitis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can be caused by any of the more than 1400 group I serotypes of salmonellae.</w:t>
      </w:r>
    </w:p>
    <w:p w:rsidR="000E03EA" w:rsidRDefault="00294375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Eight to 48 hours after ingestion of salmonellae, there is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nausea, head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ache, vomiting, and profuse diarrhea, with few leukocytes in the stools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Low-grade fever is common, but the episode usually resolves in 2–3 days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3EA" w:rsidRDefault="00294375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Inflammatory lesions of the small and large intestine are present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03EA" w:rsidRDefault="00294375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Bacteremia is rare (2–4%) except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immuno</w:t>
      </w:r>
      <w:r>
        <w:rPr>
          <w:rFonts w:ascii="Times New Roman" w:hAnsi="Times New Roman" w:cs="Times New Roman"/>
          <w:color w:val="000000"/>
          <w:sz w:val="28"/>
          <w:szCs w:val="28"/>
        </w:rPr>
        <w:t>deficient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persons. </w:t>
      </w:r>
    </w:p>
    <w:p w:rsidR="000E03EA" w:rsidRDefault="00294375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Blood culture results are usually negative, but stool culture results are positive for salmonellae and may remain positive for several weeks after clinical recovery.</w:t>
      </w: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E6"/>
          <w:sz w:val="28"/>
          <w:szCs w:val="28"/>
        </w:rPr>
        <w:t>Diagnostic Laboratory Tests</w:t>
      </w: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Bacteriological Methods for Isolation of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Salmonellae</w:t>
      </w:r>
    </w:p>
    <w:p w:rsidR="000E03EA" w:rsidRDefault="00294375">
      <w:pPr>
        <w:spacing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Differential medium cultures</w:t>
      </w:r>
    </w:p>
    <w:p w:rsidR="000E03EA" w:rsidRDefault="00294375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Selective medium cultures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(S-S agar, Bismuth sulfide agar, DCA…)</w:t>
      </w:r>
    </w:p>
    <w:p w:rsidR="000E03EA" w:rsidRDefault="00294375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Enrichment cultures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tetrathionat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selinite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broth)</w:t>
      </w:r>
    </w:p>
    <w:p w:rsidR="000E03EA" w:rsidRDefault="00294375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4. Final identification (biochemical tests-API)</w:t>
      </w: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3EA" w:rsidRDefault="00294375">
      <w:pPr>
        <w:spacing w:after="0"/>
        <w:jc w:val="both"/>
      </w:pPr>
      <w:r>
        <w:rPr>
          <w:rFonts w:ascii="Franklin Gothic Heavy" w:hAnsi="Franklin Gothic Heavy" w:cs="Franklin Gothic Heavy"/>
          <w:color w:val="FF0000"/>
          <w:sz w:val="28"/>
          <w:szCs w:val="28"/>
        </w:rPr>
        <w:t xml:space="preserve">Immunity: </w:t>
      </w:r>
      <w:r>
        <w:rPr>
          <w:rFonts w:ascii="Times New Roman" w:hAnsi="Times New Roman" w:cs="Times New Roman"/>
          <w:color w:val="000000"/>
          <w:sz w:val="28"/>
          <w:szCs w:val="28"/>
        </w:rPr>
        <w:t>Active immunity,</w:t>
      </w:r>
      <w:r>
        <w:rPr>
          <w:rFonts w:ascii="Franklin Gothic Heavy" w:hAnsi="Franklin Gothic Heavy" w:cs="Franklin Gothic Heavy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and Passive immunity (immunity that an infant acquires from its mother). </w:t>
      </w:r>
    </w:p>
    <w:p w:rsidR="000E03EA" w:rsidRDefault="000E03EA">
      <w:pPr>
        <w:spacing w:after="0"/>
        <w:jc w:val="both"/>
        <w:rPr>
          <w:rFonts w:ascii="Franklin Gothic Heavy" w:hAnsi="Franklin Gothic Heavy" w:cs="Times New Roman"/>
          <w:color w:val="FF0000"/>
          <w:sz w:val="28"/>
          <w:szCs w:val="28"/>
        </w:rPr>
      </w:pPr>
    </w:p>
    <w:p w:rsidR="000E03EA" w:rsidRDefault="00294375">
      <w:pPr>
        <w:spacing w:after="0"/>
        <w:jc w:val="both"/>
      </w:pPr>
      <w:r>
        <w:rPr>
          <w:rFonts w:ascii="Franklin Gothic Heavy" w:hAnsi="Franklin Gothic Heavy" w:cs="Franklin Gothic Heavy"/>
          <w:color w:val="FF0000"/>
          <w:sz w:val="28"/>
          <w:szCs w:val="28"/>
        </w:rPr>
        <w:t>Epidemiology</w:t>
      </w:r>
    </w:p>
    <w:p w:rsidR="000E03EA" w:rsidRDefault="00294375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Many animals, including cattle, rodents, and fowl, are naturally infected with a variety of salmonellae and have the bacteria in their tissues (meat), excreta, or eggs.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03EA" w:rsidRDefault="00294375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high incidence of salmonellae in commercially prepared chickens has been widely publicized. </w:t>
      </w:r>
    </w:p>
    <w:p w:rsidR="000E03EA" w:rsidRDefault="00294375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The problem probably is aggravated by the widespread use of animal feeds containing antimicrobial drugs that favor the proliferation of drug-resistant salmon</w:t>
      </w:r>
      <w:r>
        <w:rPr>
          <w:rFonts w:ascii="Times New Roman" w:hAnsi="Times New Roman" w:cs="Times New Roman"/>
          <w:color w:val="000000"/>
          <w:sz w:val="28"/>
          <w:szCs w:val="28"/>
        </w:rPr>
        <w:t>ellae and their potential transmission to humans.</w:t>
      </w: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bidi="he-IL"/>
        </w:rPr>
      </w:pP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he-IL"/>
        </w:rPr>
        <w:t>The vaccine</w:t>
      </w:r>
      <w:r>
        <w:rPr>
          <w:rFonts w:ascii="Franklin Gothic Heavy" w:hAnsi="Franklin Gothic Heavy" w:cs="Franklin Gothic Heavy"/>
          <w:color w:val="FF0000"/>
          <w:sz w:val="28"/>
          <w:szCs w:val="28"/>
          <w:lang w:bidi="he-IL"/>
        </w:rPr>
        <w:t>:</w:t>
      </w:r>
      <w:r>
        <w:rPr>
          <w:rFonts w:ascii="Franklin Gothic Heavy" w:hAnsi="Franklin Gothic Heavy" w:cs="Franklin Gothic Heavy"/>
          <w:color w:val="FF0000"/>
          <w:sz w:val="32"/>
          <w:szCs w:val="32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Purified Vi antigen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,  or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live attenuated vaccine</w:t>
      </w:r>
    </w:p>
    <w:p w:rsidR="000E03EA" w:rsidRDefault="000E03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3EA" w:rsidRDefault="000E03EA">
      <w:pPr>
        <w:spacing w:after="0"/>
        <w:rPr>
          <w:rFonts w:ascii="Bodoni MT Black" w:hAnsi="Bodoni MT Black" w:cs="Aharoni"/>
          <w:b/>
          <w:bCs/>
          <w:color w:val="FF0000"/>
          <w:sz w:val="28"/>
          <w:szCs w:val="28"/>
          <w:u w:val="single"/>
          <w:lang w:bidi="he-IL"/>
        </w:rPr>
      </w:pPr>
    </w:p>
    <w:p w:rsidR="000E03EA" w:rsidRDefault="00294375">
      <w:pPr>
        <w:spacing w:after="0"/>
        <w:jc w:val="both"/>
      </w:pPr>
      <w:proofErr w:type="spellStart"/>
      <w:r>
        <w:rPr>
          <w:rFonts w:ascii="Elephant" w:hAnsi="Elephant" w:cs="Elephant"/>
          <w:i/>
          <w:iCs/>
          <w:color w:val="FF0000"/>
          <w:sz w:val="32"/>
          <w:szCs w:val="32"/>
        </w:rPr>
        <w:t>Shigella</w:t>
      </w:r>
      <w:proofErr w:type="spellEnd"/>
      <w:r>
        <w:rPr>
          <w:rFonts w:ascii="Elephant" w:hAnsi="Elephant" w:cs="Elephant"/>
          <w:i/>
          <w:iCs/>
          <w:color w:val="FF0000"/>
          <w:sz w:val="32"/>
          <w:szCs w:val="32"/>
        </w:rPr>
        <w:t xml:space="preserve"> </w:t>
      </w:r>
      <w:proofErr w:type="spellStart"/>
      <w:r>
        <w:rPr>
          <w:rFonts w:ascii="Elephant" w:hAnsi="Elephant" w:cs="Elephant"/>
          <w:i/>
          <w:iCs/>
          <w:color w:val="FF0000"/>
          <w:sz w:val="32"/>
          <w:szCs w:val="32"/>
        </w:rPr>
        <w:t>Dysenteriae</w:t>
      </w:r>
      <w:proofErr w:type="spellEnd"/>
      <w:r>
        <w:rPr>
          <w:rFonts w:ascii="Elephant" w:hAnsi="Elephant" w:cs="Elephant"/>
          <w:i/>
          <w:iCs/>
          <w:color w:val="FF0000"/>
          <w:sz w:val="32"/>
          <w:szCs w:val="32"/>
        </w:rPr>
        <w:t xml:space="preserve"> </w:t>
      </w:r>
    </w:p>
    <w:p w:rsidR="000E03EA" w:rsidRDefault="00294375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natural habitat of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shigellae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is limited to the intestinal tracts of humans and other primates, where they produce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bacillary dysentery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E6"/>
          <w:sz w:val="24"/>
          <w:szCs w:val="24"/>
        </w:rPr>
      </w:pP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E6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E6"/>
          <w:sz w:val="28"/>
          <w:szCs w:val="28"/>
        </w:rPr>
        <w:t>Morphology and Identification</w:t>
      </w: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Growth Characteristics</w:t>
      </w:r>
    </w:p>
    <w:p w:rsidR="000E03EA" w:rsidRDefault="00294375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All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shigellae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ferment glucose (except of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Shigella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sonnei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0E03EA" w:rsidRDefault="00294375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Shigellae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form acid from carbohydrates but rarely produce gas. </w:t>
      </w: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E6"/>
          <w:sz w:val="24"/>
          <w:szCs w:val="24"/>
        </w:rPr>
      </w:pP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E6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E6"/>
          <w:sz w:val="28"/>
          <w:szCs w:val="28"/>
        </w:rPr>
        <w:t>Pathogenesis and Pathology</w:t>
      </w:r>
    </w:p>
    <w:p w:rsidR="000E03EA" w:rsidRDefault="00294375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Shigella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infections are almo</w:t>
      </w:r>
      <w:r>
        <w:rPr>
          <w:rFonts w:ascii="Times New Roman" w:hAnsi="Times New Roman" w:cs="Times New Roman"/>
          <w:color w:val="000000"/>
          <w:sz w:val="28"/>
          <w:szCs w:val="28"/>
        </w:rPr>
        <w:t>st always limited to the gastrointestinal tract</w:t>
      </w:r>
    </w:p>
    <w:p w:rsidR="000E03EA" w:rsidRDefault="00294375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Shigellae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infection is highly communicable</w:t>
      </w:r>
    </w:p>
    <w:p w:rsidR="000E03EA" w:rsidRDefault="00294375">
      <w:pPr>
        <w:pStyle w:val="ListParagraph"/>
        <w:numPr>
          <w:ilvl w:val="0"/>
          <w:numId w:val="3"/>
        </w:numPr>
        <w:spacing w:after="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infective dose is on the order of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organisms (it usually is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–10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for salmonellae and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vibrios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E03EA" w:rsidRDefault="00294375">
      <w:pPr>
        <w:pStyle w:val="ListParagraph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essential pathologic process is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invasion of the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mucosal epithelial cells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M cells) by inducing phagocytosis, escape from the phagocytic vacuole, multiplication and spread within the epithelial cell cytoplasm, and passage to adjacent cells.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Microabscesses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 the wall of the large intestine and termin</w:t>
      </w:r>
      <w:r>
        <w:rPr>
          <w:rFonts w:ascii="Times New Roman" w:hAnsi="Times New Roman" w:cs="Times New Roman"/>
          <w:color w:val="000000"/>
          <w:sz w:val="28"/>
          <w:szCs w:val="28"/>
        </w:rPr>
        <w:t>al ileum lead to necrosis of the mucous membrane, superficial ulceration, bleeding, and formation of a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pseudomembrane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 on the ulcerated area. As the process subsides, granulation tissue fills the ulcers, and scar tissue forms.</w:t>
      </w:r>
    </w:p>
    <w:p w:rsidR="000E03EA" w:rsidRDefault="000E03EA">
      <w:pPr>
        <w:spacing w:after="0"/>
        <w:jc w:val="both"/>
        <w:rPr>
          <w:rFonts w:ascii="Times New Roman" w:hAnsi="Times New Roman" w:cs="Times New Roman"/>
          <w:b/>
          <w:bCs/>
          <w:color w:val="0000E6"/>
          <w:sz w:val="24"/>
          <w:szCs w:val="24"/>
        </w:rPr>
      </w:pPr>
    </w:p>
    <w:p w:rsidR="000E03EA" w:rsidRDefault="000E03EA">
      <w:pPr>
        <w:spacing w:after="0"/>
        <w:jc w:val="both"/>
        <w:rPr>
          <w:rFonts w:ascii="Times New Roman" w:hAnsi="Times New Roman" w:cs="Times New Roman"/>
          <w:b/>
          <w:bCs/>
          <w:color w:val="0000E6"/>
          <w:sz w:val="24"/>
          <w:szCs w:val="24"/>
        </w:rPr>
      </w:pPr>
    </w:p>
    <w:p w:rsidR="000E03EA" w:rsidRDefault="00294375">
      <w:pPr>
        <w:spacing w:after="0"/>
        <w:ind w:left="270" w:hanging="270"/>
        <w:jc w:val="center"/>
      </w:pPr>
      <w:hyperlink r:id="rId11">
        <w:r>
          <w:rPr>
            <w:rStyle w:val="InternetLink"/>
            <w:noProof/>
          </w:rPr>
          <w:drawing>
            <wp:inline distT="0" distB="0" distL="0" distR="0">
              <wp:extent cx="4648200" cy="3067050"/>
              <wp:effectExtent l="0" t="0" r="0" b="0"/>
              <wp:docPr id="3" name="Imag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3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8200" cy="3067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E6"/>
          <w:sz w:val="28"/>
          <w:szCs w:val="28"/>
          <w:u w:val="single"/>
        </w:rPr>
      </w:pP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Toxins produced by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Shigella</w:t>
      </w:r>
      <w:proofErr w:type="spellEnd"/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spp.</w:t>
      </w: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Endotoxin</w:t>
      </w: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Shigella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Dysenteriae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Exotoxin</w:t>
      </w:r>
    </w:p>
    <w:p w:rsidR="000E03EA" w:rsidRDefault="00294375">
      <w:pPr>
        <w:pStyle w:val="ListParagraph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dysenteriae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type 1 (Shiga bacillus) produces a heat-labile exotoxin that affects both the gut and the central nervous system. </w:t>
      </w:r>
    </w:p>
    <w:p w:rsidR="000E03EA" w:rsidRDefault="00294375">
      <w:pPr>
        <w:pStyle w:val="ListParagraph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 humans, the exotoxin also inhibits sugar and amino acid absorption in the small intestine. </w:t>
      </w:r>
    </w:p>
    <w:p w:rsidR="000E03EA" w:rsidRDefault="00294375">
      <w:pPr>
        <w:pStyle w:val="ListParagraph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Patients with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Shigella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flexneri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or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sonnei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nfections develop antitoxin that       neutralizes S.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dysenteriae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exotoxin in vitro. </w:t>
      </w:r>
    </w:p>
    <w:p w:rsidR="000E03EA" w:rsidRDefault="00294375">
      <w:pPr>
        <w:pStyle w:val="ListParagraph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Acting as 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enterotoxin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it produces diarrhea as does the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E. coli </w:t>
      </w:r>
      <w:r>
        <w:rPr>
          <w:rFonts w:ascii="Times New Roman" w:hAnsi="Times New Roman" w:cs="Times New Roman"/>
          <w:color w:val="000000"/>
          <w:sz w:val="28"/>
          <w:szCs w:val="28"/>
        </w:rPr>
        <w:t>Shiga-like toxin, perhaps by the same mechanism.</w:t>
      </w:r>
    </w:p>
    <w:p w:rsidR="000E03EA" w:rsidRDefault="00294375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Acting as a “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neurotoxin</w:t>
      </w:r>
      <w:r>
        <w:rPr>
          <w:rFonts w:ascii="Times New Roman" w:hAnsi="Times New Roman" w:cs="Times New Roman"/>
          <w:color w:val="000000"/>
          <w:sz w:val="28"/>
          <w:szCs w:val="28"/>
        </w:rPr>
        <w:t>,” this material may contribute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to the extreme severity and fatal nature of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dysenteriae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infections and to the CNS reactions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meningismus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coma). </w:t>
      </w:r>
    </w:p>
    <w:p w:rsidR="000E03EA" w:rsidRDefault="00294375">
      <w:pPr>
        <w:pStyle w:val="ListParagraph"/>
        <w:numPr>
          <w:ilvl w:val="0"/>
          <w:numId w:val="3"/>
        </w:numPr>
        <w:spacing w:after="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invasion of the large intestine, resulting in later dysentery with blood and pus in the stool. The toxic activity is distinct from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invasive property of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shigellae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 dysentery.</w:t>
      </w:r>
    </w:p>
    <w:p w:rsidR="000E03EA" w:rsidRDefault="00294375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After a short incubation period (1–2 days), there is a sudden onset of abdominal pain, fever, and watery diarrhea. The diarrhea has been attributed </w:t>
      </w:r>
      <w:r>
        <w:rPr>
          <w:rFonts w:ascii="Times New Roman" w:hAnsi="Times New Roman" w:cs="Times New Roman"/>
          <w:sz w:val="28"/>
          <w:szCs w:val="28"/>
        </w:rPr>
        <w:t>to an exotoxin acting in the small intestine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03EA" w:rsidRDefault="00294375">
      <w:pPr>
        <w:spacing w:after="0"/>
        <w:ind w:left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03EA" w:rsidRDefault="000E03E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E03EA" w:rsidRDefault="00294375">
      <w:pPr>
        <w:spacing w:after="0"/>
        <w:jc w:val="both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Specimens</w:t>
      </w:r>
    </w:p>
    <w:p w:rsidR="000E03EA" w:rsidRDefault="00294375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Specimens include fresh stool, mucus flecks, and rectal swabs for culture.  Large numbers of fecal leukocytes and some red blood cells often are seen microscopically. </w:t>
      </w:r>
    </w:p>
    <w:p w:rsidR="000E03EA" w:rsidRDefault="00294375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Serum specimens, if desired, must be taken 10 days apart to demonstrate a rise in titer</w:t>
      </w:r>
      <w:r>
        <w:rPr>
          <w:rFonts w:ascii="Times New Roman" w:hAnsi="Times New Roman" w:cs="Times New Roman"/>
          <w:sz w:val="28"/>
          <w:szCs w:val="28"/>
        </w:rPr>
        <w:t xml:space="preserve"> of agglutinating antibodies.</w:t>
      </w:r>
    </w:p>
    <w:p w:rsidR="000E03EA" w:rsidRDefault="000E03E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E03EA" w:rsidRDefault="00294375">
      <w:pPr>
        <w:spacing w:after="0"/>
        <w:jc w:val="both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Culture</w:t>
      </w:r>
    </w:p>
    <w:p w:rsidR="000E03EA" w:rsidRDefault="00294375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The materials are streaked on differential media (e.g. </w:t>
      </w:r>
      <w:proofErr w:type="spellStart"/>
      <w:r>
        <w:rPr>
          <w:rFonts w:ascii="Times New Roman" w:hAnsi="Times New Roman" w:cs="Times New Roman"/>
          <w:sz w:val="28"/>
          <w:szCs w:val="28"/>
        </w:rPr>
        <w:t>MacConkey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EMB agar) and on selective media (</w:t>
      </w:r>
      <w:proofErr w:type="spellStart"/>
      <w:r>
        <w:rPr>
          <w:rFonts w:ascii="Times New Roman" w:hAnsi="Times New Roman" w:cs="Times New Roman"/>
          <w:sz w:val="28"/>
          <w:szCs w:val="28"/>
        </w:rPr>
        <w:t>Hektoen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enteric agar or Salmonella–</w:t>
      </w:r>
      <w:proofErr w:type="spellStart"/>
      <w:r>
        <w:rPr>
          <w:rFonts w:ascii="Times New Roman" w:hAnsi="Times New Roman" w:cs="Times New Roman"/>
          <w:sz w:val="28"/>
          <w:szCs w:val="28"/>
        </w:rPr>
        <w:t>Shigella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agar), which suppress other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Enterobacteriaceae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gram-positive </w:t>
      </w:r>
      <w:r>
        <w:rPr>
          <w:rFonts w:ascii="Times New Roman" w:hAnsi="Times New Roman" w:cs="Times New Roman"/>
          <w:sz w:val="28"/>
          <w:szCs w:val="28"/>
        </w:rPr>
        <w:t>organisms.  Colorless (lactose-negative) colonies are inoculated into TSI agar.</w:t>
      </w:r>
    </w:p>
    <w:p w:rsidR="000E03EA" w:rsidRDefault="00294375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Nonmotile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colonies should be subjected to slide agglutination by specific </w:t>
      </w:r>
      <w:proofErr w:type="spellStart"/>
      <w:r>
        <w:rPr>
          <w:rFonts w:ascii="Times New Roman" w:hAnsi="Times New Roman" w:cs="Times New Roman"/>
          <w:sz w:val="28"/>
          <w:szCs w:val="28"/>
        </w:rPr>
        <w:t>Shigella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antisera.</w:t>
      </w:r>
    </w:p>
    <w:p w:rsidR="000E03EA" w:rsidRDefault="000E03EA">
      <w:pPr>
        <w:spacing w:after="0"/>
        <w:rPr>
          <w:rFonts w:ascii="Franklin Gothic Heavy" w:hAnsi="Franklin Gothic Heavy" w:cs="Times New Roman"/>
          <w:b/>
          <w:bCs/>
          <w:color w:val="FF0000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Franklin Gothic Heavy" w:hAnsi="Franklin Gothic Heavy" w:cs="Franklin Gothic Heavy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Serology</w:t>
      </w:r>
    </w:p>
    <w:p w:rsidR="000E03EA" w:rsidRDefault="00294375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Normal persons often have agglutinins against several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Shigella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species.</w:t>
      </w:r>
      <w:r>
        <w:rPr>
          <w:rFonts w:ascii="Times New Roman" w:hAnsi="Times New Roman" w:cs="Times New Roman"/>
          <w:sz w:val="28"/>
          <w:szCs w:val="28"/>
        </w:rPr>
        <w:t xml:space="preserve"> However, serial determinations of antibody titers may show a rise in specific antibody. Serology is not used to diagnose </w:t>
      </w:r>
      <w:proofErr w:type="spellStart"/>
      <w:r>
        <w:rPr>
          <w:rFonts w:ascii="Times New Roman" w:hAnsi="Times New Roman" w:cs="Times New Roman"/>
          <w:sz w:val="28"/>
          <w:szCs w:val="28"/>
        </w:rPr>
        <w:t>Shigella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infections.</w:t>
      </w:r>
    </w:p>
    <w:p w:rsidR="000E03EA" w:rsidRDefault="000E03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Immunity</w:t>
      </w:r>
    </w:p>
    <w:p w:rsidR="000E03EA" w:rsidRDefault="00294375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Infection is followed by a type-specific antibody response. Injection of killed </w:t>
      </w:r>
      <w:proofErr w:type="spellStart"/>
      <w:r>
        <w:rPr>
          <w:rFonts w:ascii="Times New Roman" w:hAnsi="Times New Roman" w:cs="Times New Roman"/>
          <w:sz w:val="28"/>
          <w:szCs w:val="28"/>
        </w:rPr>
        <w:t>shigellae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stimulates pr</w:t>
      </w:r>
      <w:r>
        <w:rPr>
          <w:rFonts w:ascii="Times New Roman" w:hAnsi="Times New Roman" w:cs="Times New Roman"/>
          <w:sz w:val="28"/>
          <w:szCs w:val="28"/>
        </w:rPr>
        <w:t>oduction of antibodies in serum, but fails to protect humans against infection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Host immunity is serotype-specific and protective against reinfection by the same serotype)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E03EA" w:rsidRDefault="00294375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IgA antibodies in the gut may be important in limiting reinfection; these may be s</w:t>
      </w:r>
      <w:r>
        <w:rPr>
          <w:rFonts w:ascii="Times New Roman" w:hAnsi="Times New Roman" w:cs="Times New Roman"/>
          <w:sz w:val="28"/>
          <w:szCs w:val="28"/>
        </w:rPr>
        <w:t xml:space="preserve">timulated by live attenuated strains given orally as experimental vaccines. </w:t>
      </w:r>
    </w:p>
    <w:p w:rsidR="000E03EA" w:rsidRDefault="000E03EA">
      <w:pPr>
        <w:spacing w:after="0"/>
        <w:jc w:val="center"/>
        <w:rPr>
          <w:rFonts w:ascii="Franklin Gothic Heavy" w:hAnsi="Franklin Gothic Heavy" w:cs="Aharoni"/>
          <w:color w:val="0000CC"/>
          <w:sz w:val="36"/>
          <w:szCs w:val="36"/>
          <w:u w:val="single"/>
          <w:lang w:bidi="he-IL"/>
        </w:rPr>
      </w:pPr>
    </w:p>
    <w:p w:rsidR="000E03EA" w:rsidRDefault="00294375">
      <w:pPr>
        <w:spacing w:after="0"/>
      </w:pPr>
      <w:r>
        <w:rPr>
          <w:rFonts w:ascii="Elephant" w:hAnsi="Elephant" w:cs="Elephant"/>
          <w:color w:val="FF0000"/>
          <w:sz w:val="28"/>
          <w:szCs w:val="28"/>
          <w:lang w:bidi="he-IL"/>
        </w:rPr>
        <w:t xml:space="preserve">Campylobacter </w:t>
      </w:r>
      <w:proofErr w:type="spellStart"/>
      <w:r>
        <w:rPr>
          <w:rFonts w:ascii="Elephant" w:hAnsi="Elephant" w:cs="Elephant"/>
          <w:color w:val="FF0000"/>
          <w:sz w:val="28"/>
          <w:szCs w:val="28"/>
          <w:lang w:bidi="he-IL"/>
        </w:rPr>
        <w:t>jejuni</w:t>
      </w:r>
      <w:proofErr w:type="spellEnd"/>
    </w:p>
    <w:p w:rsidR="000E03EA" w:rsidRDefault="00294375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Campylobacter cause both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 xml:space="preserve">diarrheal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and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systemic diseases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</w:t>
      </w:r>
    </w:p>
    <w:p w:rsidR="000E03EA" w:rsidRDefault="00294375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Campylobacter infection of domesticated animals also is widespread. </w:t>
      </w:r>
    </w:p>
    <w:p w:rsidR="000E03EA" w:rsidRDefault="00294375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Campylobacter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jejun</w:t>
      </w:r>
      <w:r>
        <w:rPr>
          <w:rFonts w:ascii="Times New Roman" w:eastAsia="MinionPro-Regular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eastAsia="MinionPro-Regular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is</w:t>
      </w:r>
      <w:proofErr w:type="gram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a common cause of diarrhea in humans.</w:t>
      </w:r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E6"/>
          <w:sz w:val="28"/>
          <w:szCs w:val="28"/>
        </w:rPr>
        <w:t>Morphology and Identification</w:t>
      </w: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Typical Organisms</w:t>
      </w:r>
    </w:p>
    <w:p w:rsidR="000E03EA" w:rsidRDefault="00294375">
      <w:pPr>
        <w:spacing w:after="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jejuni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and the other campylobacters are gram-negative rods with comma, S, or “gull wing” shapes</w:t>
      </w:r>
    </w:p>
    <w:p w:rsidR="000E03EA" w:rsidRDefault="00294375">
      <w:pPr>
        <w:spacing w:after="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. They are motile, with a single polar flagellum.</w:t>
      </w:r>
    </w:p>
    <w:p w:rsidR="000E03EA" w:rsidRDefault="00294375">
      <w:pPr>
        <w:tabs>
          <w:tab w:val="left" w:pos="5370"/>
        </w:tabs>
        <w:spacing w:after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E03EA" w:rsidRDefault="00294375">
      <w:pPr>
        <w:spacing w:after="0"/>
        <w:jc w:val="center"/>
      </w:pPr>
      <w:hyperlink r:id="rId13">
        <w:r>
          <w:rPr>
            <w:rStyle w:val="InternetLink"/>
            <w:noProof/>
          </w:rPr>
          <w:drawing>
            <wp:inline distT="0" distB="0" distL="0" distR="0">
              <wp:extent cx="3571875" cy="1752600"/>
              <wp:effectExtent l="0" t="0" r="0" b="0"/>
              <wp:docPr id="4" name="Imag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4"/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71875" cy="175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0E03EA" w:rsidRDefault="000E03E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B. Culture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Skirrow’s</w:t>
      </w:r>
      <w:proofErr w:type="spellEnd"/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 xml:space="preserve"> medium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contains </w:t>
      </w:r>
      <w:proofErr w:type="spellStart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vancomycin</w:t>
      </w:r>
      <w:proofErr w:type="spell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polymyxin</w:t>
      </w:r>
      <w:proofErr w:type="spell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B, and trimethoprim to inhibit growth of other bacteria, O2 (5% O2) with added CO2 (10% CO2). 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Incubation of primary plates for isolation of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jejuni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should be at 42C.  </w:t>
      </w:r>
      <w:proofErr w:type="gramStart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thus</w:t>
      </w:r>
      <w:proofErr w:type="gram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simplifying the identification of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jejuni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0E03EA" w:rsidRDefault="000E03EA">
      <w:pPr>
        <w:spacing w:after="0"/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</w:pPr>
    </w:p>
    <w:p w:rsidR="000E03EA" w:rsidRDefault="000E03EA">
      <w:pPr>
        <w:spacing w:after="0"/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Growth Characteristics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i/>
          <w:iCs/>
          <w:color w:val="000000"/>
          <w:sz w:val="28"/>
          <w:szCs w:val="28"/>
        </w:rPr>
        <w:t xml:space="preserve">C. </w:t>
      </w:r>
      <w:proofErr w:type="spellStart"/>
      <w:proofErr w:type="gramStart"/>
      <w:r>
        <w:rPr>
          <w:rFonts w:ascii="Times New Roman" w:eastAsia="MinionPro-Regular" w:hAnsi="Times New Roman" w:cs="Times New Roman"/>
          <w:i/>
          <w:iCs/>
          <w:color w:val="000000"/>
          <w:sz w:val="28"/>
          <w:szCs w:val="28"/>
        </w:rPr>
        <w:t>jejuni</w:t>
      </w:r>
      <w:proofErr w:type="spellEnd"/>
      <w:r>
        <w:rPr>
          <w:rFonts w:ascii="Times New Roman" w:eastAsia="MinionPro-Regular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are</w:t>
      </w:r>
      <w:proofErr w:type="gram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positive for both oxidase and catalase. 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Nitrate reduction, hydrogen sulfide production, </w:t>
      </w:r>
      <w:proofErr w:type="spellStart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hip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purate</w:t>
      </w:r>
      <w:proofErr w:type="spell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tests, can be used for further identification of species.</w:t>
      </w:r>
    </w:p>
    <w:p w:rsidR="000E03EA" w:rsidRDefault="000E03EA">
      <w:pPr>
        <w:spacing w:after="0"/>
        <w:rPr>
          <w:rFonts w:ascii="Times New Roman" w:eastAsia="MinionPro-Regular" w:hAnsi="Times New Roman" w:cs="Times New Roman"/>
          <w:b/>
          <w:bCs/>
          <w:color w:val="0000E6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eastAsia="MinionPro-Regular" w:hAnsi="Times New Roman" w:cs="Times New Roman"/>
          <w:b/>
          <w:bCs/>
          <w:color w:val="0000E6"/>
          <w:sz w:val="28"/>
          <w:szCs w:val="28"/>
        </w:rPr>
        <w:t>Antigenic Structure and Toxins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The campylobacters have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  <w:u w:val="single"/>
        </w:rPr>
        <w:t>lipopolysaccharides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with </w:t>
      </w:r>
      <w:proofErr w:type="spellStart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endotoxic</w:t>
      </w:r>
      <w:proofErr w:type="spell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activity. </w:t>
      </w:r>
      <w:proofErr w:type="spellStart"/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  <w:u w:val="single"/>
        </w:rPr>
        <w:t>Cytopathic</w:t>
      </w:r>
      <w:proofErr w:type="spellEnd"/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  <w:u w:val="single"/>
        </w:rPr>
        <w:t xml:space="preserve"> extracellular toxins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and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  <w:u w:val="single"/>
        </w:rPr>
        <w:t>enterotoxins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have been found, but the significance of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the toxins in human disease is not well defined.</w:t>
      </w:r>
    </w:p>
    <w:p w:rsidR="000E03EA" w:rsidRDefault="000E03EA">
      <w:pPr>
        <w:spacing w:after="0"/>
        <w:rPr>
          <w:rFonts w:ascii="Times New Roman" w:eastAsia="MinionPro-Regular" w:hAnsi="Times New Roman" w:cs="Times New Roman"/>
          <w:b/>
          <w:bCs/>
          <w:color w:val="0000E6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eastAsia="MinionPro-Regular" w:hAnsi="Times New Roman" w:cs="Times New Roman"/>
          <w:b/>
          <w:bCs/>
          <w:color w:val="0000E6"/>
          <w:sz w:val="28"/>
          <w:szCs w:val="28"/>
        </w:rPr>
        <w:t>Pathogenesis and Pathology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The infection is acquired by the </w:t>
      </w:r>
      <w:r>
        <w:rPr>
          <w:rFonts w:ascii="Times New Roman" w:eastAsia="MinionPro-Regular" w:hAnsi="Times New Roman" w:cs="Times New Roman"/>
          <w:b/>
          <w:bCs/>
          <w:color w:val="FF0000"/>
          <w:sz w:val="28"/>
          <w:szCs w:val="28"/>
        </w:rPr>
        <w:t>oral route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from food, drink, or </w:t>
      </w:r>
      <w:r>
        <w:rPr>
          <w:rFonts w:ascii="Times New Roman" w:eastAsia="MinionPro-Regular" w:hAnsi="Times New Roman" w:cs="Times New Roman"/>
          <w:b/>
          <w:bCs/>
          <w:color w:val="FF0000"/>
          <w:sz w:val="28"/>
          <w:szCs w:val="28"/>
        </w:rPr>
        <w:t>contact with infected animals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or animal products, especially poultry. </w:t>
      </w:r>
    </w:p>
    <w:p w:rsidR="000E03EA" w:rsidRDefault="000E03EA">
      <w:pPr>
        <w:spacing w:after="0"/>
        <w:ind w:left="90"/>
        <w:jc w:val="both"/>
        <w:rPr>
          <w:rFonts w:ascii="Times New Roman" w:eastAsia="MinionPro-Regular" w:hAnsi="Times New Roman" w:cs="Times New Roman"/>
          <w:color w:val="000000"/>
          <w:sz w:val="16"/>
          <w:szCs w:val="16"/>
        </w:rPr>
      </w:pP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The organisms multiply in the small intestine, invade the epithelium, and produce inflammation that results in the appearance of red and white blood cells in the stools. 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The sites of tissue injury include the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jejunum, the ileum, and the colon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. Most strain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s of </w:t>
      </w:r>
      <w:r>
        <w:rPr>
          <w:rFonts w:ascii="Times New Roman" w:eastAsia="MinionPro-Regular" w:hAnsi="Times New Roman" w:cs="Times New Roman"/>
          <w:i/>
          <w:iCs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MinionPro-Regular" w:hAnsi="Times New Roman" w:cs="Times New Roman"/>
          <w:i/>
          <w:iCs/>
          <w:color w:val="000000"/>
          <w:sz w:val="28"/>
          <w:szCs w:val="28"/>
        </w:rPr>
        <w:t>jejuni</w:t>
      </w:r>
      <w:proofErr w:type="spell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produce a toxin (</w:t>
      </w:r>
      <w:proofErr w:type="spellStart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cytolethal</w:t>
      </w:r>
      <w:proofErr w:type="spell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distending toxin) that hinders the cells from dividing and activating the immune system. This helps the bacteria to evade the immune system and survive for a limited time in the cells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Occasionally, the bloodstream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is invaded.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Localized tissue invasion coupled with the toxic activity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appears to be responsible for the enteritis.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The most common routes of transmission are fecal-oral, ingestion of contaminated food or water, and the eating of raw meat. Foods implicated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campylobacteriosis</w:t>
      </w:r>
      <w:proofErr w:type="spell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include </w:t>
      </w:r>
    </w:p>
    <w:p w:rsidR="000E03EA" w:rsidRDefault="00294375">
      <w:pPr>
        <w:pStyle w:val="ListParagraph"/>
        <w:numPr>
          <w:ilvl w:val="0"/>
          <w:numId w:val="7"/>
        </w:numPr>
        <w:spacing w:after="0"/>
        <w:jc w:val="both"/>
      </w:pP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lastRenderedPageBreak/>
        <w:t>raw or under-cooked poultry</w:t>
      </w:r>
    </w:p>
    <w:p w:rsidR="000E03EA" w:rsidRDefault="00294375">
      <w:pPr>
        <w:pStyle w:val="ListParagraph"/>
        <w:numPr>
          <w:ilvl w:val="0"/>
          <w:numId w:val="7"/>
        </w:numPr>
        <w:spacing w:after="0"/>
        <w:jc w:val="both"/>
      </w:pP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raw dairy products</w:t>
      </w:r>
    </w:p>
    <w:p w:rsidR="000E03EA" w:rsidRDefault="000E03EA">
      <w:pPr>
        <w:spacing w:after="0"/>
        <w:ind w:left="90"/>
        <w:jc w:val="both"/>
        <w:rPr>
          <w:rFonts w:ascii="Times New Roman" w:eastAsia="MinionPro-Regular" w:hAnsi="Times New Roman" w:cs="Times New Roman"/>
          <w:color w:val="000000"/>
          <w:sz w:val="28"/>
          <w:szCs w:val="28"/>
        </w:rPr>
      </w:pPr>
    </w:p>
    <w:p w:rsidR="000E03EA" w:rsidRDefault="00294375">
      <w:pPr>
        <w:spacing w:after="0"/>
        <w:ind w:left="9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Campylobacter is sensitive to the stomach's normal production of hydrochloric acid: as a result, the infectious dose is relatively high, and the bacteria rarely cause illness w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hen a person is exposed to less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  <w:vertAlign w:val="superscript"/>
        </w:rPr>
        <w:t>4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organisms. People taking antacid medication (e. g. people with gastritis or stomach ulcers) are at higher risk of contracting disease from a smaller amount of organisms, since this type of medication inhibits normal gast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ric acid.</w:t>
      </w:r>
    </w:p>
    <w:p w:rsidR="000E03EA" w:rsidRDefault="000E03EA">
      <w:pPr>
        <w:spacing w:after="0"/>
        <w:rPr>
          <w:rFonts w:ascii="Times New Roman" w:eastAsia="MinionPro-Regular" w:hAnsi="Times New Roman" w:cs="Times New Roman"/>
          <w:b/>
          <w:bCs/>
          <w:color w:val="0000E6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eastAsia="MinionPro-Regular" w:hAnsi="Times New Roman" w:cs="Times New Roman"/>
          <w:b/>
          <w:bCs/>
          <w:color w:val="0000E6"/>
          <w:sz w:val="28"/>
          <w:szCs w:val="28"/>
        </w:rPr>
        <w:t>Clinical Findings</w:t>
      </w:r>
    </w:p>
    <w:p w:rsidR="000E03EA" w:rsidRDefault="00294375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Clinical manifestations are acute onset of </w:t>
      </w:r>
      <w:proofErr w:type="spellStart"/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crampy</w:t>
      </w:r>
      <w:proofErr w:type="spellEnd"/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 xml:space="preserve"> abdominal pain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, profuse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diarrhea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that may be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bloody,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headache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malaise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, and </w:t>
      </w: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>fever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. 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Certain serotypes of </w:t>
      </w:r>
      <w:r>
        <w:rPr>
          <w:rFonts w:ascii="Times New Roman" w:eastAsia="MinionPro-Regular" w:hAnsi="Times New Roman" w:cs="Times New Roman"/>
          <w:i/>
          <w:iCs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MinionPro-Regular" w:hAnsi="Times New Roman" w:cs="Times New Roman"/>
          <w:i/>
          <w:iCs/>
          <w:color w:val="000000"/>
          <w:sz w:val="28"/>
          <w:szCs w:val="28"/>
        </w:rPr>
        <w:t>jejuni</w:t>
      </w:r>
      <w:proofErr w:type="spellEnd"/>
      <w:r>
        <w:rPr>
          <w:rFonts w:ascii="Times New Roman" w:eastAsia="MinionPro-Regular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have been associated with </w:t>
      </w:r>
      <w:proofErr w:type="spellStart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postdiarrheal</w:t>
      </w:r>
      <w:proofErr w:type="spell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nionPro-Regular" w:hAnsi="Times New Roman" w:cs="Times New Roman"/>
          <w:b/>
          <w:bCs/>
          <w:color w:val="FF0000"/>
          <w:sz w:val="28"/>
          <w:szCs w:val="28"/>
        </w:rPr>
        <w:t>Guillain</w:t>
      </w:r>
      <w:r>
        <w:rPr>
          <w:rFonts w:ascii="Times New Roman" w:eastAsia="MinionPro-Regular" w:hAnsi="Times New Roman" w:cs="Times New Roman"/>
          <w:color w:val="FF0000"/>
          <w:sz w:val="28"/>
          <w:szCs w:val="28"/>
        </w:rPr>
        <w:t>-</w:t>
      </w:r>
      <w:r>
        <w:rPr>
          <w:rFonts w:ascii="Times New Roman" w:eastAsia="MinionPro-Regular" w:hAnsi="Times New Roman" w:cs="Times New Roman"/>
          <w:b/>
          <w:bCs/>
          <w:color w:val="FF0000"/>
          <w:sz w:val="28"/>
          <w:szCs w:val="28"/>
        </w:rPr>
        <w:t>Barre</w:t>
      </w:r>
      <w:r>
        <w:rPr>
          <w:rFonts w:ascii="Times New Roman" w:eastAsia="MinionPro-Regular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MinionPro-Regular" w:hAnsi="Times New Roman" w:cs="Times New Roman"/>
          <w:b/>
          <w:bCs/>
          <w:color w:val="FF0000"/>
          <w:sz w:val="28"/>
          <w:szCs w:val="28"/>
        </w:rPr>
        <w:t>syndrome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, a form of ascending paralytic disease.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eastAsia="MinionPro-Regular" w:hAnsi="Times New Roman" w:cs="Times New Roman"/>
          <w:b/>
          <w:bCs/>
          <w:color w:val="FF0000"/>
          <w:sz w:val="28"/>
          <w:szCs w:val="28"/>
        </w:rPr>
        <w:t>Reactive arthritis and Reiter’s syndrome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may also follow acute campylobacter diarrhea.</w:t>
      </w:r>
    </w:p>
    <w:p w:rsidR="000E03EA" w:rsidRDefault="000E03EA">
      <w:pPr>
        <w:spacing w:after="0"/>
        <w:rPr>
          <w:rFonts w:ascii="Times New Roman" w:eastAsia="MinionPro-Regular" w:hAnsi="Times New Roman" w:cs="Times New Roman"/>
          <w:b/>
          <w:bCs/>
          <w:color w:val="0000E6"/>
          <w:sz w:val="28"/>
          <w:szCs w:val="28"/>
        </w:rPr>
      </w:pPr>
    </w:p>
    <w:p w:rsidR="000E03EA" w:rsidRDefault="00294375">
      <w:pPr>
        <w:spacing w:after="0"/>
      </w:pPr>
      <w:r>
        <w:rPr>
          <w:rFonts w:ascii="Times New Roman" w:eastAsia="MinionPro-Regular" w:hAnsi="Times New Roman" w:cs="Times New Roman"/>
          <w:b/>
          <w:bCs/>
          <w:color w:val="0000E6"/>
          <w:sz w:val="28"/>
          <w:szCs w:val="28"/>
        </w:rPr>
        <w:t>Diagnostic Laboratory Tests</w:t>
      </w:r>
    </w:p>
    <w:p w:rsidR="000E03EA" w:rsidRDefault="00294375">
      <w:pPr>
        <w:spacing w:after="0"/>
      </w:pP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 xml:space="preserve">A. Specimens: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Diarrheal stool is the usual specimen. </w:t>
      </w:r>
    </w:p>
    <w:p w:rsidR="000E03EA" w:rsidRDefault="00294375">
      <w:pPr>
        <w:spacing w:after="0"/>
        <w:jc w:val="both"/>
      </w:pPr>
      <w:r>
        <w:rPr>
          <w:rFonts w:ascii="Times New Roman" w:eastAsia="MinionPro-Regular" w:hAnsi="Times New Roman" w:cs="Times New Roman"/>
          <w:b/>
          <w:bCs/>
          <w:color w:val="000000"/>
          <w:sz w:val="28"/>
          <w:szCs w:val="28"/>
        </w:rPr>
        <w:t xml:space="preserve">B. Smears: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Gram-stained smears of sto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ol may show the typical “gull </w:t>
      </w:r>
      <w:proofErr w:type="spellStart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wing”shaped</w:t>
      </w:r>
      <w:proofErr w:type="spell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rods. </w:t>
      </w:r>
      <w:proofErr w:type="gramStart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May show the typical darting motility of the organisms.</w:t>
      </w:r>
      <w:proofErr w:type="gramEnd"/>
    </w:p>
    <w:p w:rsidR="000E03EA" w:rsidRDefault="00294375">
      <w:pPr>
        <w:spacing w:after="0"/>
        <w:rPr>
          <w:rFonts w:ascii="Times New Roman" w:eastAsia="MinionPro-Regular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90590" cy="268541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3EA" w:rsidRDefault="00294375">
      <w:pPr>
        <w:spacing w:after="0"/>
      </w:pPr>
      <w:r>
        <w:rPr>
          <w:rFonts w:ascii="Elephant" w:hAnsi="Elephant" w:cs="Elephant"/>
          <w:i/>
          <w:iCs/>
          <w:color w:val="FF0000"/>
          <w:sz w:val="28"/>
          <w:szCs w:val="28"/>
        </w:rPr>
        <w:lastRenderedPageBreak/>
        <w:t>Campylobacter fetus</w:t>
      </w:r>
    </w:p>
    <w:p w:rsidR="000E03EA" w:rsidRDefault="00294375">
      <w:pPr>
        <w:pStyle w:val="ListParagraph"/>
        <w:numPr>
          <w:ilvl w:val="0"/>
          <w:numId w:val="1"/>
        </w:numPr>
        <w:spacing w:after="0"/>
        <w:ind w:left="9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 fetus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has two subspecies,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fetus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venerealis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C fetus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subspecies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fetus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is an opportunistic pathogen that causes systemic infections in </w:t>
      </w:r>
      <w:proofErr w:type="spellStart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immunocompromised</w:t>
      </w:r>
      <w:proofErr w:type="spellEnd"/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patients. The gastrointestinal tract may be the portal of entry when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 fetus 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>causes bacteremia and systemic infection. The presence of the S protein as a surface capsule corr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elated with the ability of the bacteria to cause bacteremia after oral challenge. </w:t>
      </w:r>
    </w:p>
    <w:sectPr w:rsidR="000E03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75" w:rsidRDefault="00294375">
      <w:pPr>
        <w:spacing w:after="0" w:line="240" w:lineRule="auto"/>
      </w:pPr>
      <w:r>
        <w:separator/>
      </w:r>
    </w:p>
  </w:endnote>
  <w:endnote w:type="continuationSeparator" w:id="0">
    <w:p w:rsidR="00294375" w:rsidRDefault="0029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00"/>
    <w:family w:val="roman"/>
    <w:notTrueType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utiger-BlackCn"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32" w:rsidRDefault="00D56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32" w:rsidRDefault="00D56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32" w:rsidRDefault="00D56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75" w:rsidRDefault="00294375">
      <w:pPr>
        <w:spacing w:after="0" w:line="240" w:lineRule="auto"/>
      </w:pPr>
      <w:r>
        <w:separator/>
      </w:r>
    </w:p>
  </w:footnote>
  <w:footnote w:type="continuationSeparator" w:id="0">
    <w:p w:rsidR="00294375" w:rsidRDefault="0029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32" w:rsidRDefault="00D56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EA" w:rsidRDefault="00294375">
    <w:pPr>
      <w:pStyle w:val="Header"/>
    </w:pPr>
    <w:r>
      <w:fldChar w:fldCharType="begin"/>
    </w:r>
    <w:r>
      <w:instrText>PAGE</w:instrText>
    </w:r>
    <w:r>
      <w:fldChar w:fldCharType="separate"/>
    </w:r>
    <w:r w:rsidR="00D56F32">
      <w:rPr>
        <w:noProof/>
      </w:rPr>
      <w:t>2</w:t>
    </w:r>
    <w:r>
      <w:fldChar w:fldCharType="end"/>
    </w:r>
    <w:bookmarkStart w:id="0" w:name="_GoBack"/>
  </w:p>
  <w:bookmarkEnd w:id="0"/>
  <w:p w:rsidR="000E03EA" w:rsidRDefault="000E03EA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32" w:rsidRDefault="00D5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40864DE"/>
    <w:multiLevelType w:val="multilevel"/>
    <w:tmpl w:val="C122DE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867AC0"/>
    <w:multiLevelType w:val="multilevel"/>
    <w:tmpl w:val="DE6C8FB8"/>
    <w:lvl w:ilvl="0">
      <w:start w:val="1"/>
      <w:numFmt w:val="bullet"/>
      <w:lvlText w:val="•"/>
      <w:lvlPicBulletId w:val="0"/>
      <w:lvlJc w:val="left"/>
      <w:pPr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>
    <w:nsid w:val="130A2B75"/>
    <w:multiLevelType w:val="multilevel"/>
    <w:tmpl w:val="BA1C63E2"/>
    <w:lvl w:ilvl="0"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3E4CA3"/>
    <w:multiLevelType w:val="multilevel"/>
    <w:tmpl w:val="76948B02"/>
    <w:lvl w:ilvl="0">
      <w:numFmt w:val="bullet"/>
      <w:lvlText w:val="-"/>
      <w:lvlJc w:val="left"/>
      <w:pPr>
        <w:ind w:left="720" w:hanging="360"/>
      </w:pPr>
      <w:rPr>
        <w:rFonts w:ascii="MinionPro-Regular" w:hAnsi="MinionPro-Regular" w:cs="MinionPro-Regular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9A5F11"/>
    <w:multiLevelType w:val="multilevel"/>
    <w:tmpl w:val="B3A2F540"/>
    <w:lvl w:ilvl="0">
      <w:numFmt w:val="bullet"/>
      <w:lvlText w:val="-"/>
      <w:lvlJc w:val="left"/>
      <w:pPr>
        <w:ind w:left="720" w:hanging="360"/>
      </w:pPr>
      <w:rPr>
        <w:rFonts w:ascii="MinionPro-Regular" w:hAnsi="MinionPro-Regular" w:cs="MinionPro-Regular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037EB9"/>
    <w:multiLevelType w:val="multilevel"/>
    <w:tmpl w:val="C046D210"/>
    <w:lvl w:ilvl="0">
      <w:numFmt w:val="bullet"/>
      <w:lvlText w:val="-"/>
      <w:lvlJc w:val="left"/>
      <w:pPr>
        <w:ind w:left="720" w:hanging="360"/>
      </w:pPr>
      <w:rPr>
        <w:rFonts w:ascii="MinionPro-Regular" w:hAnsi="MinionPro-Regular" w:cs="MinionPro-Regular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4C0CA4"/>
    <w:multiLevelType w:val="multilevel"/>
    <w:tmpl w:val="42F66B52"/>
    <w:lvl w:ilvl="0">
      <w:numFmt w:val="bullet"/>
      <w:lvlText w:val="-"/>
      <w:lvlJc w:val="left"/>
      <w:pPr>
        <w:ind w:left="720" w:hanging="360"/>
      </w:pPr>
      <w:rPr>
        <w:rFonts w:ascii="MinionPro-Regular" w:hAnsi="MinionPro-Regular" w:cs="MinionPro-Regular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762C8A"/>
    <w:multiLevelType w:val="multilevel"/>
    <w:tmpl w:val="CF7ED0E2"/>
    <w:lvl w:ilvl="0">
      <w:numFmt w:val="bullet"/>
      <w:lvlText w:val="-"/>
      <w:lvlJc w:val="left"/>
      <w:pPr>
        <w:ind w:left="720" w:hanging="360"/>
      </w:pPr>
      <w:rPr>
        <w:rFonts w:ascii="MinionPro-Regular" w:hAnsi="MinionPro-Regular" w:cs="MinionPro-Regular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3EA"/>
    <w:rsid w:val="000E03EA"/>
    <w:rsid w:val="00294375"/>
    <w:rsid w:val="00D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rFonts w:cs="Times New Roman"/>
    </w:rPr>
  </w:style>
  <w:style w:type="character" w:customStyle="1" w:styleId="FooterChar">
    <w:name w:val="Footer Char"/>
    <w:basedOn w:val="DefaultParagraphFont"/>
    <w:qFormat/>
    <w:rPr>
      <w:rFonts w:cs="Times New Roman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hcb">
    <w:name w:val="_hcb"/>
    <w:basedOn w:val="DefaultParagraphFont"/>
    <w:qFormat/>
    <w:rPr>
      <w:rFonts w:cs="Times New Roman"/>
    </w:rPr>
  </w:style>
  <w:style w:type="character" w:customStyle="1" w:styleId="ircpt">
    <w:name w:val="irc_pt"/>
    <w:basedOn w:val="DefaultParagraphFont"/>
    <w:qFormat/>
    <w:rPr>
      <w:rFonts w:cs="Times New Roman"/>
    </w:rPr>
  </w:style>
  <w:style w:type="character" w:customStyle="1" w:styleId="r3">
    <w:name w:val="_r3"/>
    <w:basedOn w:val="DefaultParagraphFont"/>
    <w:qFormat/>
    <w:rPr>
      <w:rFonts w:cs="Times New Roman"/>
    </w:rPr>
  </w:style>
  <w:style w:type="character" w:customStyle="1" w:styleId="ircho">
    <w:name w:val="irc_ho"/>
    <w:basedOn w:val="DefaultParagraphFont"/>
    <w:qFormat/>
    <w:rPr>
      <w:rFonts w:cs="Times New Roman"/>
    </w:rPr>
  </w:style>
  <w:style w:type="character" w:customStyle="1" w:styleId="ircidim">
    <w:name w:val="irc_idim"/>
    <w:basedOn w:val="DefaultParagraphFont"/>
    <w:qFormat/>
    <w:rPr>
      <w:rFonts w:cs="Times New Roman"/>
    </w:rPr>
  </w:style>
  <w:style w:type="character" w:customStyle="1" w:styleId="ircsu">
    <w:name w:val="irc_su"/>
    <w:basedOn w:val="DefaultParagraphFont"/>
    <w:qFormat/>
    <w:rPr>
      <w:rFonts w:cs="Times New Roman"/>
    </w:rPr>
  </w:style>
  <w:style w:type="character" w:customStyle="1" w:styleId="ircbutt">
    <w:name w:val="irc_but_t"/>
    <w:basedOn w:val="DefaultParagraphFont"/>
    <w:qFormat/>
    <w:rPr>
      <w:rFonts w:cs="Times New Roman"/>
    </w:rPr>
  </w:style>
  <w:style w:type="character" w:customStyle="1" w:styleId="IntenseQuoteChar">
    <w:name w:val="Intense Quote Char"/>
    <w:basedOn w:val="DefaultParagraphFont"/>
    <w:qFormat/>
    <w:rPr>
      <w:rFonts w:cs="Arial"/>
      <w:b/>
      <w:bCs/>
      <w:i/>
      <w:iCs/>
      <w:color w:val="4F81BD"/>
    </w:rPr>
  </w:style>
  <w:style w:type="character" w:customStyle="1" w:styleId="ListLabel1">
    <w:name w:val="ListLabel 1"/>
    <w:qFormat/>
    <w:rPr>
      <w:rFonts w:eastAsia="MinionPro-Regular" w:cs="Times New Roman"/>
    </w:rPr>
  </w:style>
  <w:style w:type="character" w:customStyle="1" w:styleId="ListLabel2">
    <w:name w:val="ListLabel 2"/>
    <w:qFormat/>
    <w:rPr>
      <w:rFonts w:ascii="Times New Roman" w:eastAsia="MinionPro-Regular" w:hAnsi="Times New Roman" w:cs="Times New Roman"/>
      <w:b/>
      <w:sz w:val="28"/>
    </w:rPr>
  </w:style>
  <w:style w:type="character" w:customStyle="1" w:styleId="ListLabel3">
    <w:name w:val="ListLabel 3"/>
    <w:qFormat/>
    <w:rPr>
      <w:rFonts w:eastAsia="MinionPro-Regular" w:cs="Times New Roman"/>
    </w:rPr>
  </w:style>
  <w:style w:type="character" w:customStyle="1" w:styleId="ListLabel4">
    <w:name w:val="ListLabel 4"/>
    <w:qFormat/>
    <w:rPr>
      <w:rFonts w:ascii="Times New Roman" w:eastAsia="Times New Roman" w:hAnsi="Times New Roman" w:cs="MinionPro-Regular"/>
      <w:b/>
      <w:sz w:val="28"/>
    </w:rPr>
  </w:style>
  <w:style w:type="character" w:customStyle="1" w:styleId="ListLabel5">
    <w:name w:val="ListLabel 5"/>
    <w:qFormat/>
    <w:rPr>
      <w:rFonts w:ascii="Times New Roman" w:eastAsia="Times New Roman" w:hAnsi="Times New Roman" w:cs="MinionPro-Regular"/>
      <w:b/>
      <w:sz w:val="28"/>
    </w:rPr>
  </w:style>
  <w:style w:type="character" w:customStyle="1" w:styleId="ListLabel6">
    <w:name w:val="ListLabel 6"/>
    <w:qFormat/>
    <w:rPr>
      <w:rFonts w:ascii="Times New Roman" w:eastAsia="Times New Roman" w:hAnsi="Times New Roman" w:cs="MinionPro-Regular"/>
      <w:b/>
      <w:sz w:val="28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MinionPro-Regular"/>
    </w:rPr>
  </w:style>
  <w:style w:type="character" w:customStyle="1" w:styleId="ListLabel9">
    <w:name w:val="ListLabel 9"/>
    <w:qFormat/>
    <w:rPr>
      <w:rFonts w:eastAsia="Times New Roman" w:cs="Symbol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Symbol"/>
    </w:rPr>
  </w:style>
  <w:style w:type="character" w:customStyle="1" w:styleId="ListLabel12">
    <w:name w:val="ListLabel 12"/>
    <w:qFormat/>
    <w:rPr>
      <w:rFonts w:ascii="Times New Roman" w:eastAsia="Times New Roman" w:hAnsi="Times New Roman" w:cs="MinionPro-Regular"/>
      <w:sz w:val="28"/>
    </w:rPr>
  </w:style>
  <w:style w:type="character" w:customStyle="1" w:styleId="ListLabel13">
    <w:name w:val="ListLabel 13"/>
    <w:qFormat/>
    <w:rPr>
      <w:rFonts w:ascii="Times New Roman" w:eastAsia="Times New Roman" w:hAnsi="Times New Roman" w:cs="MinionPro-Regular"/>
      <w:b/>
      <w:sz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IntenseQuote">
    <w:name w:val="Intense Quote"/>
    <w:basedOn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studyblue.com/notes/note/n/bacteria-names-name-and-gram-stain/deck/17336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azettereview.com/2015/04/drug-resistant-shigella-bacteria-hits-united-stat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thinglink.com/scene/656949012783431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1528</Words>
  <Characters>8714</Characters>
  <Application>Microsoft Office Word</Application>
  <DocSecurity>0</DocSecurity>
  <Lines>72</Lines>
  <Paragraphs>20</Paragraphs>
  <ScaleCrop>false</ScaleCrop>
  <Company>Grizli777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D.dagistani</dc:creator>
  <dc:description/>
  <cp:lastModifiedBy>Dana Masoud</cp:lastModifiedBy>
  <cp:revision>18</cp:revision>
  <cp:lastPrinted>2014-11-18T07:49:00Z</cp:lastPrinted>
  <dcterms:created xsi:type="dcterms:W3CDTF">2017-03-22T17:33:00Z</dcterms:created>
  <dcterms:modified xsi:type="dcterms:W3CDTF">2019-04-10T13:44:00Z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Grizli777</vt:lpwstr>
  </property>
  <property fmtid="{D5CDD505-2E9C-101B-9397-08002B2CF9AE}" pid="3" name="Operator">
    <vt:lpwstr>dr hala</vt:lpwstr>
  </property>
</Properties>
</file>